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</w:rPr>
        <w:t>Югры Миненко 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</w:rPr>
        <w:t>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«ГАРАНТ-СЕРВИС»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Курбанова Владимира Шухратовича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Курбанов Владимир Шухратович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«ГАРАНТ-СЕРВИС»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 д.43 офис 504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</w:t>
      </w:r>
      <w:r>
        <w:rPr>
          <w:rFonts w:ascii="Times New Roman" w:eastAsia="Times New Roman" w:hAnsi="Times New Roman" w:cs="Times New Roman"/>
        </w:rPr>
        <w:t xml:space="preserve"> не обеспечил</w:t>
      </w:r>
      <w:r>
        <w:rPr>
          <w:rFonts w:ascii="Times New Roman" w:eastAsia="Times New Roman" w:hAnsi="Times New Roman" w:cs="Times New Roman"/>
        </w:rPr>
        <w:t xml:space="preserve"> пред</w:t>
      </w:r>
      <w:r>
        <w:rPr>
          <w:rFonts w:ascii="Times New Roman" w:eastAsia="Times New Roman" w:hAnsi="Times New Roman" w:cs="Times New Roman"/>
        </w:rPr>
        <w:t xml:space="preserve">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 час. 01 мин.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Курбанов В.Ш.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Курбанова В.Ш.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п.7 ст.431 </w:t>
      </w:r>
      <w:r>
        <w:rPr>
          <w:rFonts w:ascii="Times New Roman" w:eastAsia="Times New Roman" w:hAnsi="Times New Roman" w:cs="Times New Roman"/>
        </w:rPr>
        <w:t>НК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«ГАРАНТ-СЕРВИС»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Курбанов В.Ш.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01.2024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Курбанова В.Ш.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12.03.2024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«ГАРАНТ-СЕРВИС»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квитанции о приёме налоговой декларации (расчета) от </w:t>
      </w:r>
      <w:r>
        <w:rPr>
          <w:rFonts w:ascii="Times New Roman" w:eastAsia="Times New Roman" w:hAnsi="Times New Roman" w:cs="Times New Roman"/>
        </w:rPr>
        <w:t>25.02.2024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Курбанова В.Ш.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</w:t>
      </w:r>
      <w:r>
        <w:rPr>
          <w:rFonts w:ascii="Times New Roman" w:eastAsia="Times New Roman" w:hAnsi="Times New Roman" w:cs="Times New Roman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</w:rPr>
        <w:t>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Курбанов В.Ш.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</w:rPr>
        <w:t>тает справедливым назначение ему</w:t>
      </w:r>
      <w:r>
        <w:rPr>
          <w:rFonts w:ascii="Times New Roman" w:eastAsia="Times New Roman" w:hAnsi="Times New Roman" w:cs="Times New Roman"/>
        </w:rPr>
        <w:t xml:space="preserve">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лицо-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«ГАРАНТ-СЕРВИС»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Курбанова Владимира Шухратовича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59120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49FF-E8CD-4381-A244-A5AB7EAC5E3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